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28E" w:rsidRPr="004E215E" w:rsidRDefault="004D528E" w:rsidP="004D528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诸菩萨摩诃萨亦复如是，非用初心证得无上正等菩提，亦不离初心证得无上正等菩提；非用后心证得无上正等菩提，亦不离后心证得无上正等菩提，而诸菩萨摩诃萨证得无上正等菩提。复次，善现，诸菩萨摩诃萨从初发心修行般若波罗蜜多，圆满十地证得无上正等菩提。”时，具寿善现白佛言：“世尊，诸菩萨摩诃萨修学何等十地圆满证得无上正等菩提？”佛言：“善现，诸菩萨摩诃萨修行极喜地乃至法云地，令其圆满证得无上正等菩提；亦学净观地、种性地、第八地、见地、薄地、离欲地、已办地、独觉地、菩萨地、如来地，令其圆满证得无上正等菩提。善现，诸菩萨摩诃萨于此十地精勤修学得圆满时，非用初心证得无上正等菩提，亦不离初心证得无上正等菩提；非用后心证得无上正等菩提，亦不离后心证得无上正等菩提，而诸菩萨摩诃萨证得无上正等菩提。”——乾隆大藏经第1部《大般若波罗蜜多经》第330卷</w:t>
      </w:r>
    </w:p>
    <w:p w:rsidR="007560E5" w:rsidRDefault="007560E5"/>
    <w:p w:rsidR="009E63F9" w:rsidRPr="004E215E" w:rsidRDefault="009E63F9" w:rsidP="009E63F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“不也，善现。诸菩萨摩诃萨所有菩提虽无行处，而诸菩萨摩诃萨要行布施、净戒、安忍、精进、静虑、般若波罗蜜多，要行内空、外空、内外空、空空、大空、胜义空、有为空、无为空、毕竟空、无际空、散空、无变异空、本性空、自相空、共相空、一切法空、不可得空、无性空、自性空、无性自性空，要行四念住、四正断、四神足、五根、五力、七等觉支、八圣道支，要行苦、集、灭、道圣谛，要行四静虑、四无量、四无色定，要行八解脱、八胜处、九次第定、十遍处，要行一切陀罗尼门、一切三摩地门，要行空解脱门、无相、无愿解脱门，要入菩萨正性离生，要行极喜地、离垢地、发光地、焰慧地、极难胜地、现前地、远行地、不动地、善慧地、法云地，要行五眼、六神通，要行佛十力、四无所畏、四无碍解、大慈、大悲、大喜、大舍、十八佛不共法，要行三十二大士相、八十随好，要行无忘失法、恒住舍性，要行一切智、道相智、一切相智，要住菩萨殊胜神通、成熟有情、严净佛土，乃得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9E63F9" w:rsidRDefault="009E63F9" w:rsidP="009E63F9"/>
    <w:p w:rsidR="009E63F9" w:rsidRDefault="009E63F9">
      <w:pPr>
        <w:rPr>
          <w:rFonts w:hint="eastAsia"/>
        </w:rPr>
      </w:pPr>
      <w:r>
        <w:rPr>
          <w:rFonts w:hint="eastAsia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396</w:t>
      </w:r>
      <w:r>
        <w:rPr>
          <w:rFonts w:hint="eastAsia"/>
        </w:rPr>
        <w:t>卷</w:t>
      </w:r>
    </w:p>
    <w:p w:rsidR="003304B6" w:rsidRDefault="003304B6">
      <w:pPr>
        <w:rPr>
          <w:rFonts w:hint="eastAsia"/>
        </w:rPr>
      </w:pPr>
    </w:p>
    <w:p w:rsidR="003304B6" w:rsidRDefault="003304B6" w:rsidP="003304B6">
      <w:r>
        <w:rPr>
          <w:rFonts w:hint="eastAsia"/>
        </w:rPr>
        <w:lastRenderedPageBreak/>
        <w:t>佛告善现：“我以五眼如实观察，决定无我实能证得无上菩提，安立有情三聚差别。然诸有情愚痴颠倒，于非实法起实法想，于非实有情起实有情想；我为除遣彼虚妄执，依世俗说，不依胜义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524</w:t>
      </w:r>
      <w:r>
        <w:rPr>
          <w:rFonts w:hint="eastAsia"/>
        </w:rPr>
        <w:t>卷</w:t>
      </w:r>
    </w:p>
    <w:p w:rsidR="003304B6" w:rsidRDefault="003304B6" w:rsidP="003304B6"/>
    <w:p w:rsidR="003304B6" w:rsidRPr="00332E1A" w:rsidRDefault="003304B6" w:rsidP="003304B6">
      <w:pPr>
        <w:widowControl/>
      </w:pPr>
      <w:r w:rsidRPr="00332E1A">
        <w:rPr>
          <w:rFonts w:hint="eastAsia"/>
        </w:rPr>
        <w:t>具寿善现复白佛言：“世尊，为住胜义证得无上正等菩提耶？”“不也，善现。”“世尊，为住颠倒证得无上正等菩提耶？”“不也，善现。”“世尊，若不住胜义证得无上正等菩提，亦不住颠倒证得无上正等菩提者，将无世尊不证得无上正等菩提耶？”“不也，善现。我虽证得无上正等菩提，然不住有为界，亦不住无为界。”——乾隆大藏经第</w:t>
      </w:r>
      <w:r w:rsidRPr="00332E1A">
        <w:rPr>
          <w:rFonts w:hint="eastAsia"/>
        </w:rPr>
        <w:t>1</w:t>
      </w:r>
      <w:r w:rsidRPr="00332E1A">
        <w:rPr>
          <w:rFonts w:hint="eastAsia"/>
        </w:rPr>
        <w:t>部《大般若波罗蜜多经》第</w:t>
      </w:r>
      <w:r w:rsidRPr="00332E1A">
        <w:rPr>
          <w:rFonts w:hint="eastAsia"/>
        </w:rPr>
        <w:t>362</w:t>
      </w:r>
      <w:r w:rsidRPr="00332E1A">
        <w:rPr>
          <w:rFonts w:hint="eastAsia"/>
        </w:rPr>
        <w:t>卷</w:t>
      </w:r>
    </w:p>
    <w:p w:rsidR="003304B6" w:rsidRDefault="003304B6" w:rsidP="003304B6"/>
    <w:p w:rsidR="003304B6" w:rsidRDefault="003304B6" w:rsidP="003304B6">
      <w:r>
        <w:rPr>
          <w:rFonts w:hint="eastAsia"/>
        </w:rPr>
        <w:t>佛告善现：“虽依世俗有得圣果，而非胜义。若依胜义，非修圣道能得圣果，亦非不修圣道能得圣果，非离圣道能得圣果，亦非住圣道中能得圣果。所以者何？依胜义谛，道及道果、修与不修俱不可得。如是，善现，诸菩萨摩诃萨行深般若波罗蜜多时，虽为有情施设种种圣果差别，而不分别如是圣果在有为界、无为界中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532</w:t>
      </w:r>
      <w:r>
        <w:rPr>
          <w:rFonts w:hint="eastAsia"/>
        </w:rPr>
        <w:t>卷</w:t>
      </w:r>
    </w:p>
    <w:p w:rsidR="003304B6" w:rsidRDefault="003304B6" w:rsidP="003304B6"/>
    <w:p w:rsidR="003304B6" w:rsidRPr="003304B6" w:rsidRDefault="003304B6">
      <w:r>
        <w:rPr>
          <w:rFonts w:hint="eastAsia"/>
        </w:rPr>
        <w:t>具寿善现便白佛言：“佛证无上正等觉时，所得佛法为依世俗说名为得，为依胜义说名得耶？”佛告善现：“此依世俗，不依胜义。若依胜义，能得、所得俱不可得。所以者何？若谓此人得如是法便有所得，有所得者便执有二，执有二者不能得果亦无现观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537</w:t>
      </w:r>
      <w:r>
        <w:rPr>
          <w:rFonts w:hint="eastAsia"/>
        </w:rPr>
        <w:t>卷</w:t>
      </w:r>
    </w:p>
    <w:sectPr w:rsidR="003304B6" w:rsidRPr="003304B6" w:rsidSect="00B60A4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5698" w:rsidRDefault="00BF5698" w:rsidP="004D528E">
      <w:r>
        <w:separator/>
      </w:r>
    </w:p>
  </w:endnote>
  <w:endnote w:type="continuationSeparator" w:id="1">
    <w:p w:rsidR="00BF5698" w:rsidRDefault="00BF5698" w:rsidP="004D52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5698" w:rsidRDefault="00BF5698" w:rsidP="004D528E">
      <w:r>
        <w:separator/>
      </w:r>
    </w:p>
  </w:footnote>
  <w:footnote w:type="continuationSeparator" w:id="1">
    <w:p w:rsidR="00BF5698" w:rsidRDefault="00BF5698" w:rsidP="004D528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528E"/>
    <w:rsid w:val="003304B6"/>
    <w:rsid w:val="004D528E"/>
    <w:rsid w:val="007000B1"/>
    <w:rsid w:val="007560E5"/>
    <w:rsid w:val="009E63F9"/>
    <w:rsid w:val="00B60A45"/>
    <w:rsid w:val="00BF5698"/>
    <w:rsid w:val="00DA5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2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D52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D528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D52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D528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1850</Characters>
  <Application>Microsoft Office Word</Application>
  <DocSecurity>0</DocSecurity>
  <Lines>15</Lines>
  <Paragraphs>4</Paragraphs>
  <ScaleCrop>false</ScaleCrop>
  <Company>2012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2021-10-28T13:44:00Z</dcterms:created>
  <dcterms:modified xsi:type="dcterms:W3CDTF">2021-11-01T06:01:00Z</dcterms:modified>
</cp:coreProperties>
</file>