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268" w:rsidRDefault="00772E39">
      <w:r w:rsidRPr="00772E39">
        <w:rPr>
          <w:rFonts w:hint="eastAsia"/>
        </w:rPr>
        <w:t>尔时，具寿善现白佛言：“世尊，如来常说佛陀，佛陀以何义故名为佛陀？”</w:t>
      </w:r>
      <w:r w:rsidRPr="00772E39">
        <w:rPr>
          <w:rFonts w:hint="eastAsia"/>
        </w:rPr>
        <w:t xml:space="preserve"> </w:t>
      </w:r>
      <w:r w:rsidRPr="00772E39">
        <w:rPr>
          <w:rFonts w:hint="eastAsia"/>
        </w:rPr>
        <w:t>佛言：“善现，随觉实义，故名佛陀。复次，善现，现觉实法，故名佛陀。复次，善现，通达实义，故名佛陀。复次，善现，于一切法如实现觉，故名佛陀。复次，善现，于一切法自相、共相、有相、无相自然开觉，故名佛陀。复次，善现，于三世法及无为法，一切种相无障智转，故名佛陀。复次，善现，如实开觉一切有情，令离颠倒恶业众苦，故名佛陀。复次，善现，能如实觉一切法相，所谓无相，故名佛陀。”</w:t>
      </w:r>
      <w:r w:rsidRPr="0004435C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65卷</w:t>
      </w:r>
    </w:p>
    <w:sectPr w:rsidR="00BC326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3268" w:rsidRDefault="00BC3268" w:rsidP="00772E39">
      <w:r>
        <w:separator/>
      </w:r>
    </w:p>
  </w:endnote>
  <w:endnote w:type="continuationSeparator" w:id="1">
    <w:p w:rsidR="00BC3268" w:rsidRDefault="00BC3268" w:rsidP="00772E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3268" w:rsidRDefault="00BC3268" w:rsidP="00772E39">
      <w:r>
        <w:separator/>
      </w:r>
    </w:p>
  </w:footnote>
  <w:footnote w:type="continuationSeparator" w:id="1">
    <w:p w:rsidR="00BC3268" w:rsidRDefault="00BC3268" w:rsidP="00772E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2E39"/>
    <w:rsid w:val="00772E39"/>
    <w:rsid w:val="00BC3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72E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72E3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72E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72E3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>2012</Company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2</cp:revision>
  <dcterms:created xsi:type="dcterms:W3CDTF">2021-08-10T07:33:00Z</dcterms:created>
  <dcterms:modified xsi:type="dcterms:W3CDTF">2021-08-10T07:33:00Z</dcterms:modified>
</cp:coreProperties>
</file>